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ПОЛОЖЕНИЕ</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ОБ ИТОГОВОЙ АТТЕСТАЦИИ УЧАЩИХСЯ</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МОУ Саккуловская СОШ</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 Общие положения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1.1. Государственная итоговая аттестация (далее ГИА) выпускников 9,11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1.2. 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№1394, Порядком проведения государственной итоговой аттестации по образовательным программам среднего общего образования от 26.12.2013 №1400, Уставом муниципального казенного образовательного учреждения «Саккуловская средняя общеобразовательная школа» Сосновского района Челябинской области (далее школа).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1.3. Положение о государственной итоговой аттестации выпускников 9, 11-х классов принимается педагогическим советом школы и утверждается директором школы.</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1.4.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2. Государственная итоговая аттестация выпускников 9 классов.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 ГИА проводится государственными экзаменационными комиссиями (далее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2.2.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2.3. ГИА проводится: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в форме основного государственного экзамена (далее ОГЭ) с использованием контрольно измерительных материалов, представляющих собой комплексы заданий стандартизированной формы (далее КИМ) – для обучающихся, освоивших образовательные программы основного общего образования и допущенных в текущем году к ГИА;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2.5. Выбранные обучающимися учебные предметы, форма (формы) ГИА указываются им в заявлении, которое он подает в школе до 1 марта.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подтверждающий факт установления инвалидности, выданной федеральным государственным учреждением медико-социальной экспертизы.</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2.6. Заместителем директора по учебно-воспитательной работе в течение января-февраля месяцев формируется база ОГЭ.</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2.7.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2.8.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2.9.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2.10.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ГИА по обязательным учебным предметам начинается не ранее 25 мая текущего года, по остальным учебным предметам – не ранее 20 апреля текущего года.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2.11.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дополнительные сроки).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2.12.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пунктом 2.10. настоящего Положения, ГИА по обязательным учебным предметам проводится досрочно, но не ранее 20 апреля, в формах, устанавливаемых настоящим Положением.</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2.13.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2.14. Повторно к сдаче ГИА по соответствующему учебному предмету допускаются следующие обучающиеся: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получившие на ГИА неудовлетворительный результат по одному из обязательных учебных предметов;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не явившиеся на экзамены по уважительным причинам (болезнь или иные обстоятельства, подтвержденные документально);</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не завершившие выполнение экзаменационной работы по уважительным причинам (болезнь или иные обстоятельства, подтвержденные документально);</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апелляция которых о нарушении установленного порядка проведения ГИА конфликтной комиссией была удовлетворена;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результаты которых были аннулированы ГЭК в случае выявления фактов нарушений установленного порядка проведения ГИА.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2.15. Экзамены проводятся в пунктах проведения экзаменов (далее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2.16. Во время экзамена обучающиеся соблюдают установленный порядок проведения ГИА и следуют указаниям организаторов.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2.17. 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2.18.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2.19. Результаты ГИА признаются удовлетворительными в случае, если обучающийся по обязательным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2.20. Обучающимся, не прошедшим ГИА или получившим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предоставляются право пройти ГИА по соответствующим учебным предметам не ранее чем через год.</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3. Государственная итоговая аттестация выпускников 11 классов.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3.2. ГИА проводится по русскому языку и математике (далее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3.3. ГИА проводится: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в форме единого государственного экзамена (далее ЕГЭ) с использованием контрольных измерительных материалов, представляющих собой комплексы заданий стандартизированной формы (далее КИМ), для обучающихся по образовательным программам среднего общего образования, а также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в форме государственного выпускного экзамена (далее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3.7.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Минобрнауки России.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3.9. 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обучающимися.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ГИА по обязательным учебным предметам начинается не ранее 25 мая текущего года, по остальным учебным предметам – не ранее 20 апреля текущего года.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3.11. Для лиц, повторно допущенных в текущем году к сдаче экзаменов по соответствующим учебным предметам, предусматривается дополнительные сроки проведения ГИА в формах, устанавливаемых настоящим Положением (далее дополнительные сроки).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обучающиеся, получившие на ГИА неудовлетворительный результат по одному из обязательных учебных предметов;</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обучающиеся, не явившиеся на экзамены по уважительным причинам (болезнь или иные обстоятельства, подтвержденные документально);</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обучающиеся, которым конфликтная комиссия удовлетворила апелляцию о нарушении устанавливаемого порядка проведения ГИА;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3.14.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3.15.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3.16. При проведении государственной итоговой аттестации в форме ЕГЭ используется система оценки, а в форме ГВЭ – пятибалльная система оценки.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3.17.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 а при сдаче ГВЭ получил отметки не ниже удовлетворительной (три балла).</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3.18.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3.20.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4. Изменения и дополнения.</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4.1. 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4.2. Учащиеся 9-х, 11-х классов, их родители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итоговой аттестации учащихся.docx</dc:title>
</cp:coreProperties>
</file>